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0DED7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Оперативная и</w:t>
      </w:r>
      <w:r>
        <w:rPr>
          <w:rFonts w:ascii="Verdana" w:hAnsi="Verdana"/>
          <w:b/>
          <w:bCs/>
          <w:color w:val="4F4F4F"/>
          <w:sz w:val="21"/>
          <w:szCs w:val="21"/>
        </w:rPr>
        <w:t>нформаци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я Роспотребнадзора о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заболеваемости новой </w:t>
      </w:r>
      <w:proofErr w:type="spellStart"/>
      <w:r>
        <w:rPr>
          <w:rFonts w:ascii="Verdana" w:hAnsi="Verdana"/>
          <w:b/>
          <w:bCs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b/>
          <w:bCs/>
          <w:color w:val="4F4F4F"/>
          <w:sz w:val="21"/>
          <w:szCs w:val="21"/>
        </w:rPr>
        <w:t xml:space="preserve"> инфекцией в Свердловской области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по </w:t>
      </w:r>
      <w:proofErr w:type="gramStart"/>
      <w:r>
        <w:rPr>
          <w:rFonts w:ascii="Verdana" w:hAnsi="Verdana"/>
          <w:b/>
          <w:bCs/>
          <w:color w:val="4F4F4F"/>
          <w:sz w:val="21"/>
          <w:szCs w:val="21"/>
        </w:rPr>
        <w:t xml:space="preserve">итогам </w:t>
      </w:r>
      <w:r>
        <w:rPr>
          <w:rFonts w:ascii="Verdana" w:hAnsi="Verdana"/>
          <w:b/>
          <w:bCs/>
          <w:color w:val="4F4F4F"/>
          <w:sz w:val="21"/>
          <w:szCs w:val="21"/>
        </w:rPr>
        <w:t xml:space="preserve"> 23</w:t>
      </w:r>
      <w:proofErr w:type="gramEnd"/>
      <w:r>
        <w:rPr>
          <w:rFonts w:ascii="Verdana" w:hAnsi="Verdana"/>
          <w:b/>
          <w:bCs/>
          <w:color w:val="4F4F4F"/>
          <w:sz w:val="21"/>
          <w:szCs w:val="21"/>
        </w:rPr>
        <w:t xml:space="preserve"> апреля</w:t>
      </w:r>
    </w:p>
    <w:p w14:paraId="075877D1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4F4F4F"/>
          <w:sz w:val="21"/>
          <w:szCs w:val="21"/>
        </w:rPr>
      </w:pPr>
    </w:p>
    <w:p w14:paraId="622B5785" w14:textId="0431D8D8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>.</w:t>
      </w:r>
    </w:p>
    <w:p w14:paraId="33C96328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инфекции (COVID-2019).</w:t>
      </w:r>
    </w:p>
    <w:p w14:paraId="4FEDC734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На 23 апреля 2020 года в Управлении Роспотребнадзора по Свердловской области под медицинским наблюдением находится 11096 граждан.</w:t>
      </w:r>
    </w:p>
    <w:p w14:paraId="6251B3F8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6FFFEF47" w14:textId="12FF2C43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стационарах области находится 267 человек с подозрением на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инфекцию.</w:t>
      </w:r>
    </w:p>
    <w:p w14:paraId="7CA97B7F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488B6B62" w14:textId="737222AF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4F4F4F"/>
          <w:sz w:val="21"/>
          <w:szCs w:val="21"/>
        </w:rPr>
        <w:t>Всего лабораторно подтверждено 271 случай заражения COVID-19:</w:t>
      </w:r>
    </w:p>
    <w:p w14:paraId="27A35A5B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Екатеринбург – 209 человека,</w:t>
      </w:r>
    </w:p>
    <w:p w14:paraId="40CE2109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Полевской – 11,</w:t>
      </w:r>
    </w:p>
    <w:p w14:paraId="3ED63727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Нижний Тагил – 7,</w:t>
      </w:r>
    </w:p>
    <w:p w14:paraId="3B0EA7B0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Заречный – 5,</w:t>
      </w:r>
    </w:p>
    <w:p w14:paraId="3C43E095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Камышлов – 4,</w:t>
      </w:r>
    </w:p>
    <w:p w14:paraId="130B7F36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Белоярский район – 4,</w:t>
      </w:r>
    </w:p>
    <w:p w14:paraId="3B1BEE3E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Красноуфимск – 4,</w:t>
      </w:r>
    </w:p>
    <w:p w14:paraId="398FA022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Первоуральск - 4</w:t>
      </w:r>
    </w:p>
    <w:p w14:paraId="55FF097F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Ревда – 4,</w:t>
      </w:r>
    </w:p>
    <w:p w14:paraId="341C427A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Верхняя Пышма – 3,</w:t>
      </w:r>
    </w:p>
    <w:p w14:paraId="3B2F0708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Серов – 3,</w:t>
      </w:r>
    </w:p>
    <w:p w14:paraId="162D870A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Верхняя Салда – 2,</w:t>
      </w:r>
    </w:p>
    <w:p w14:paraId="6BA248E5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Каменский район – 2</w:t>
      </w:r>
    </w:p>
    <w:p w14:paraId="4BD37738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Каменск-Уральский – 2,</w:t>
      </w:r>
    </w:p>
    <w:p w14:paraId="0A918D44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Верхний Тагил – 1,</w:t>
      </w:r>
    </w:p>
    <w:p w14:paraId="0CE52F17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r>
        <w:rPr>
          <w:rFonts w:ascii="Verdana" w:hAnsi="Verdana"/>
          <w:color w:val="4F4F4F"/>
          <w:sz w:val="21"/>
          <w:szCs w:val="21"/>
        </w:rPr>
        <w:t>Нижнесергинский район – 1,</w:t>
      </w:r>
    </w:p>
    <w:p w14:paraId="4F4C4079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ind w:left="795" w:right="360" w:hanging="36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Symbol" w:hAnsi="Symbol"/>
          <w:color w:val="4F4F4F"/>
          <w:sz w:val="20"/>
          <w:szCs w:val="20"/>
        </w:rPr>
        <w:t>·</w:t>
      </w:r>
      <w:r>
        <w:rPr>
          <w:color w:val="4F4F4F"/>
          <w:sz w:val="14"/>
          <w:szCs w:val="14"/>
        </w:rPr>
        <w:t>       </w:t>
      </w:r>
      <w:proofErr w:type="spellStart"/>
      <w:r>
        <w:rPr>
          <w:rFonts w:ascii="Verdana" w:hAnsi="Verdana"/>
          <w:color w:val="4F4F4F"/>
          <w:sz w:val="21"/>
          <w:szCs w:val="21"/>
        </w:rPr>
        <w:t>Красноуфимский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– 1,</w:t>
      </w:r>
    </w:p>
    <w:p w14:paraId="3B5247DC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а также 2 человека из других регионов страны (Москва и Челябинская область).</w:t>
      </w:r>
    </w:p>
    <w:p w14:paraId="5E9B9DF5" w14:textId="67F939E1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Из них 65 человек уже выписаны из больниц.</w:t>
      </w:r>
    </w:p>
    <w:p w14:paraId="5F2E6C57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</w:p>
    <w:p w14:paraId="1307B472" w14:textId="77777777" w:rsidR="0079235D" w:rsidRDefault="0079235D" w:rsidP="0079235D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ФБУЗ "Центр гигиены и эпидемиологии в Свердловской области" за сутки было проведено 1009 исследований, обследован 981 человек. Всего с начала года на новую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коронавирусную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инфекцию врачами-лаборантами обследовано 30968 человек, проведено 36631 исследование.</w:t>
      </w:r>
    </w:p>
    <w:p w14:paraId="2144C0BE" w14:textId="77777777" w:rsidR="00121453" w:rsidRDefault="00121453"/>
    <w:sectPr w:rsidR="0012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5D"/>
    <w:rsid w:val="00121453"/>
    <w:rsid w:val="0079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7F13"/>
  <w15:chartTrackingRefBased/>
  <w15:docId w15:val="{6DED1A88-0A9F-40D8-8CB3-E0F2AD71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2020-04-24T03:55:00Z</dcterms:created>
  <dcterms:modified xsi:type="dcterms:W3CDTF">2020-04-24T03:57:00Z</dcterms:modified>
</cp:coreProperties>
</file>